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4B219CF9" w14:textId="77777777" w:rsidTr="00206453">
        <w:tc>
          <w:tcPr>
            <w:tcW w:w="4853" w:type="dxa"/>
          </w:tcPr>
          <w:p w14:paraId="4A9FD817"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7131C3AB"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1D2C64BE" w14:textId="77777777" w:rsidR="00206453" w:rsidRDefault="00206453" w:rsidP="00A3347B">
            <w:pPr>
              <w:spacing w:line="300" w:lineRule="auto"/>
              <w:jc w:val="center"/>
              <w:rPr>
                <w:rFonts w:ascii="新細明體" w:hAnsi="新細明體"/>
                <w:color w:val="000000" w:themeColor="text1"/>
                <w:spacing w:val="24"/>
              </w:rPr>
            </w:pPr>
          </w:p>
        </w:tc>
      </w:tr>
      <w:tr w:rsidR="00206453" w14:paraId="1821676B" w14:textId="77777777" w:rsidTr="00206453">
        <w:tc>
          <w:tcPr>
            <w:tcW w:w="4853" w:type="dxa"/>
          </w:tcPr>
          <w:p w14:paraId="638FCF07"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1F061FD4"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業務及收入循環：其他 </w:t>
            </w:r>
          </w:p>
        </w:tc>
        <w:tc>
          <w:tcPr>
            <w:tcW w:w="4854" w:type="dxa"/>
          </w:tcPr>
          <w:p w14:paraId="48FFCB27" w14:textId="77777777" w:rsidR="00206453" w:rsidRDefault="00206453" w:rsidP="00A3347B">
            <w:pPr>
              <w:spacing w:line="300" w:lineRule="auto"/>
              <w:jc w:val="center"/>
              <w:rPr>
                <w:rFonts w:ascii="新細明體" w:hAnsi="新細明體"/>
                <w:color w:val="000000" w:themeColor="text1"/>
                <w:spacing w:val="24"/>
              </w:rPr>
            </w:pPr>
          </w:p>
        </w:tc>
      </w:tr>
      <w:tr w:rsidR="00206453" w14:paraId="48EDB019" w14:textId="77777777" w:rsidTr="00206453">
        <w:tc>
          <w:tcPr>
            <w:tcW w:w="4853" w:type="dxa"/>
          </w:tcPr>
          <w:p w14:paraId="54893BF4"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作業週期：（每年至少查核乙次）</w:t>
            </w:r>
          </w:p>
        </w:tc>
        <w:tc>
          <w:tcPr>
            <w:tcW w:w="4853" w:type="dxa"/>
          </w:tcPr>
          <w:p w14:paraId="2FCDCF71"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證券商受託管理私募股權基金及引介專業投資機構參與投資所管理私募股權基金業務查核明細表</w:t>
            </w:r>
          </w:p>
        </w:tc>
        <w:tc>
          <w:tcPr>
            <w:tcW w:w="4854" w:type="dxa"/>
          </w:tcPr>
          <w:p w14:paraId="059BE6B0"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6E25E9BD"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618997D4"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76929DAB"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71B79A69"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2BABA090"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723B75DF"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12FBFFC0" w14:textId="77777777" w:rsidTr="00B77A59">
        <w:trPr>
          <w:cantSplit/>
          <w:trHeight w:hRule="exact" w:val="402"/>
          <w:tblHeader/>
        </w:trPr>
        <w:tc>
          <w:tcPr>
            <w:tcW w:w="1985" w:type="dxa"/>
            <w:vMerge/>
            <w:tcBorders>
              <w:left w:val="single" w:sz="12" w:space="0" w:color="auto"/>
            </w:tcBorders>
          </w:tcPr>
          <w:p w14:paraId="3F84F012" w14:textId="77777777" w:rsidR="00A1667A" w:rsidRPr="00367148" w:rsidRDefault="00A1667A" w:rsidP="00647C22">
            <w:pPr>
              <w:rPr>
                <w:rFonts w:ascii="新細明體" w:hAnsi="新細明體"/>
                <w:color w:val="000000" w:themeColor="text1"/>
              </w:rPr>
            </w:pPr>
          </w:p>
        </w:tc>
        <w:tc>
          <w:tcPr>
            <w:tcW w:w="9383" w:type="dxa"/>
            <w:vMerge/>
          </w:tcPr>
          <w:p w14:paraId="69FAB87B" w14:textId="77777777" w:rsidR="00A1667A" w:rsidRPr="00367148" w:rsidRDefault="00A1667A" w:rsidP="00647C22">
            <w:pPr>
              <w:rPr>
                <w:rFonts w:ascii="新細明體" w:hAnsi="新細明體"/>
                <w:color w:val="000000" w:themeColor="text1"/>
              </w:rPr>
            </w:pPr>
          </w:p>
        </w:tc>
        <w:tc>
          <w:tcPr>
            <w:tcW w:w="851" w:type="dxa"/>
          </w:tcPr>
          <w:p w14:paraId="52842DA2"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33D78FB8"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6FB166F3"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03C761B5" w14:textId="77777777" w:rsidR="00A1667A" w:rsidRPr="00367148" w:rsidRDefault="00A1667A" w:rsidP="00647C22">
            <w:pPr>
              <w:rPr>
                <w:rFonts w:ascii="新細明體" w:hAnsi="新細明體"/>
                <w:color w:val="000000" w:themeColor="text1"/>
              </w:rPr>
            </w:pPr>
          </w:p>
        </w:tc>
      </w:tr>
      <w:tr w:rsidR="00367148" w:rsidRPr="00367148" w14:paraId="02D60AF7" w14:textId="77777777" w:rsidTr="00260A68">
        <w:trPr>
          <w:trHeight w:val="489"/>
        </w:trPr>
        <w:tc>
          <w:tcPr>
            <w:tcW w:w="1985" w:type="dxa"/>
            <w:tcBorders>
              <w:left w:val="single" w:sz="12" w:space="0" w:color="auto"/>
            </w:tcBorders>
          </w:tcPr>
          <w:p w14:paraId="688F158E"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(FA-19H00-A)</w:t>
            </w:r>
          </w:p>
          <w:p w14:paraId="543ADA40"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證券商受託管理私募股權基金及引介專業投資機構參與投資所管理私募股權基金業務</w:t>
            </w:r>
          </w:p>
        </w:tc>
        <w:tc>
          <w:tcPr>
            <w:tcW w:w="9383" w:type="dxa"/>
          </w:tcPr>
          <w:p w14:paraId="70D3B824" w14:textId="77777777" w:rsidR="00DB0BC4" w:rsidRDefault="00000000">
            <w:pPr>
              <w:ind w:left="449" w:hangingChars="187" w:hanging="449"/>
            </w:pPr>
            <w:r>
              <w:t>一、公司辦理受託管理私募股權基金業務不得涉及經營證券投資信託業務，是否符合下列規定：</w:t>
            </w:r>
          </w:p>
          <w:p w14:paraId="054C36B1" w14:textId="77777777" w:rsidR="00DB0BC4" w:rsidRDefault="00000000">
            <w:pPr>
              <w:ind w:leftChars="99" w:left="639" w:hangingChars="167" w:hanging="401"/>
            </w:pPr>
            <w:r>
              <w:t>(</w:t>
            </w:r>
            <w:r>
              <w:t>一</w:t>
            </w:r>
            <w:r>
              <w:t>)</w:t>
            </w:r>
            <w:r>
              <w:t>公司應設置專責部門，並配置適足、適任之人員：</w:t>
            </w:r>
          </w:p>
          <w:p w14:paraId="57DAD048" w14:textId="77777777" w:rsidR="00DB0BC4" w:rsidRDefault="00000000">
            <w:pPr>
              <w:ind w:leftChars="280" w:left="948" w:hangingChars="115" w:hanging="276"/>
            </w:pPr>
            <w:r>
              <w:t>1.</w:t>
            </w:r>
            <w:r>
              <w:t>於執行職務前，應向券商公會辦理登記，非經登記，不得執行業務。</w:t>
            </w:r>
          </w:p>
          <w:p w14:paraId="00754BE7" w14:textId="77777777" w:rsidR="00DB0BC4" w:rsidRDefault="00000000">
            <w:pPr>
              <w:ind w:leftChars="280" w:left="948" w:hangingChars="115" w:hanging="276"/>
            </w:pPr>
            <w:r>
              <w:t>2.</w:t>
            </w:r>
            <w:r>
              <w:t>專責部門人員有異動者，應於異動次日起五個營業日內，向券商公會申報登記。</w:t>
            </w:r>
          </w:p>
          <w:p w14:paraId="2EED860E" w14:textId="77777777" w:rsidR="00DB0BC4" w:rsidRDefault="00000000">
            <w:pPr>
              <w:ind w:leftChars="280" w:left="948" w:hangingChars="115" w:hanging="276"/>
            </w:pPr>
            <w:r>
              <w:t>3.</w:t>
            </w:r>
            <w:r>
              <w:t>未辦理專責部門以外之業務，或由非登記專責部門之人員兼辦。</w:t>
            </w:r>
          </w:p>
          <w:p w14:paraId="693C9636" w14:textId="77777777" w:rsidR="00DB0BC4" w:rsidRDefault="00000000">
            <w:pPr>
              <w:ind w:leftChars="280" w:left="948" w:hangingChars="115" w:hanging="276"/>
            </w:pPr>
            <w:r>
              <w:t>4.</w:t>
            </w:r>
            <w:r>
              <w:t>公司受託管理私募股權基金除適用證券商負責人與業務人員管理規則第十一條之一規定之限制外，負責人或受僱人未擔任該私募股權基金所投資事業之經理人。</w:t>
            </w:r>
          </w:p>
          <w:p w14:paraId="545B73C4" w14:textId="77777777" w:rsidR="00DB0BC4" w:rsidRDefault="00000000">
            <w:pPr>
              <w:ind w:leftChars="280" w:left="948" w:hangingChars="115" w:hanging="276"/>
            </w:pPr>
            <w:r>
              <w:t>5.</w:t>
            </w:r>
            <w:r>
              <w:t>派任專責部門人員至所管理之私募股權基金或該基金投資標的事業等相關機構兼任職務，應向券商公會登記建檔；如不再兼任，應於事實發生日次日起五個營業日內向券商公會辦理註銷。</w:t>
            </w:r>
          </w:p>
          <w:p w14:paraId="5374F5C7" w14:textId="77777777" w:rsidR="00DB0BC4" w:rsidRDefault="00000000">
            <w:pPr>
              <w:ind w:leftChars="280" w:left="948" w:hangingChars="115" w:hanging="276"/>
            </w:pPr>
            <w:r>
              <w:t>6.</w:t>
            </w:r>
            <w:r>
              <w:t>公司應建立內部審核控管機制，以確保人員本職及兼任職務之有效執行，並維持公司業務之正常運作，不得涉有利益衝突、違反證券相關規定或內部控制制度之情事，且應確保客戶及股東權益。</w:t>
            </w:r>
          </w:p>
          <w:p w14:paraId="4905A963" w14:textId="77777777" w:rsidR="00DB0BC4" w:rsidRDefault="00000000">
            <w:pPr>
              <w:ind w:leftChars="99" w:left="639" w:hangingChars="167" w:hanging="401"/>
            </w:pPr>
            <w:r>
              <w:t>(</w:t>
            </w:r>
            <w:r>
              <w:t>二</w:t>
            </w:r>
            <w:r>
              <w:t>)</w:t>
            </w:r>
            <w:r>
              <w:t>公司應就辦理上開業務之經營原則、作業手續、權責劃分、防制洗錢及打擊資恐作業、業務紛爭處理、人員教育訓練及管理、與既有業務之區隔及利益衝突防範等事項，訂定完善之內部控制制度與風險控制及管理機制</w:t>
            </w:r>
            <w:r>
              <w:t>(</w:t>
            </w:r>
            <w:r>
              <w:t>請公司自訂</w:t>
            </w:r>
            <w:r>
              <w:t>)</w:t>
            </w:r>
            <w:r>
              <w:t>，並確實執行。</w:t>
            </w:r>
          </w:p>
          <w:p w14:paraId="7940097D" w14:textId="77777777" w:rsidR="00DB0BC4" w:rsidRDefault="00000000">
            <w:pPr>
              <w:ind w:leftChars="99" w:left="639" w:hangingChars="167" w:hanging="401"/>
            </w:pPr>
            <w:r>
              <w:t>(</w:t>
            </w:r>
            <w:r>
              <w:t>三</w:t>
            </w:r>
            <w:r>
              <w:t>)</w:t>
            </w:r>
            <w:r>
              <w:t>公司受託管理私募股權基金，投資於集中交易市場或證券商營業處所之有價證券，</w:t>
            </w:r>
            <w:r>
              <w:lastRenderedPageBreak/>
              <w:t>應委託其他證券經紀商為之。</w:t>
            </w:r>
          </w:p>
          <w:p w14:paraId="28B8E80A" w14:textId="77777777" w:rsidR="00DB0BC4" w:rsidRDefault="00000000">
            <w:pPr>
              <w:ind w:leftChars="99" w:left="639" w:hangingChars="167" w:hanging="401"/>
            </w:pPr>
            <w:r>
              <w:t>(</w:t>
            </w:r>
            <w:r>
              <w:t>四</w:t>
            </w:r>
            <w:r>
              <w:t>)</w:t>
            </w:r>
            <w:r>
              <w:t>公司受託管理私募股權基金，未與所經理之全權委託投資帳戶、自有資金帳戶、財富管理信託財產帳戶及自行買賣有價證券帳戶間，為證券或證券相關商品交易行為。但經由集中交易市場或證券商營業處所委託買賣成交，且非故意發生相對交易之結果者，不在此限。</w:t>
            </w:r>
          </w:p>
          <w:p w14:paraId="58AA8333" w14:textId="77777777" w:rsidR="00DB0BC4" w:rsidRDefault="00000000">
            <w:pPr>
              <w:ind w:leftChars="99" w:left="639" w:hangingChars="167" w:hanging="401"/>
            </w:pPr>
            <w:r>
              <w:t>(</w:t>
            </w:r>
            <w:r>
              <w:t>五</w:t>
            </w:r>
            <w:r>
              <w:t>)</w:t>
            </w:r>
            <w:r>
              <w:t>公司受託管理私募股權基金，投資標的事業與公司有利害關係者，應事先經客戶書面同意或於受託管理契約中特別約定。</w:t>
            </w:r>
          </w:p>
          <w:p w14:paraId="207824E1" w14:textId="77777777" w:rsidR="00DB0BC4" w:rsidRDefault="00000000">
            <w:pPr>
              <w:ind w:left="449" w:hangingChars="187" w:hanging="449"/>
            </w:pPr>
            <w:r>
              <w:t>二、公司接受私募股權基金相關機構委任，就</w:t>
            </w:r>
            <w:r>
              <w:rPr>
                <w:color w:val="FF0000"/>
                <w:u w:val="single"/>
              </w:rPr>
              <w:t>公司子公司擔任普通合夥人之私募股權基金及</w:t>
            </w:r>
            <w:r>
              <w:t>受託管理之私募股權基金引介</w:t>
            </w:r>
            <w:r>
              <w:rPr>
                <w:strike/>
                <w:color w:val="FF0000"/>
              </w:rPr>
              <w:t>符合金融消費者保護法第四條規定之</w:t>
            </w:r>
            <w:r>
              <w:t>專業投資機構</w:t>
            </w:r>
            <w:r>
              <w:rPr>
                <w:color w:val="FF0000"/>
                <w:u w:val="single"/>
              </w:rPr>
              <w:t>及高資產客戶</w:t>
            </w:r>
            <w:r>
              <w:t>參與投資及提供相關服務，是否符合下列規定：</w:t>
            </w:r>
          </w:p>
          <w:p w14:paraId="3C2B8E0D" w14:textId="77777777" w:rsidR="00DB0BC4" w:rsidRDefault="00000000">
            <w:pPr>
              <w:ind w:leftChars="99" w:left="639" w:hangingChars="167" w:hanging="401"/>
            </w:pPr>
            <w:r>
              <w:t>(</w:t>
            </w:r>
            <w:r>
              <w:t>一</w:t>
            </w:r>
            <w:r>
              <w:t>)</w:t>
            </w:r>
            <w:r>
              <w:t>公司應就辦理上開業務之充分瞭解商品、充分瞭解客戶、防制洗錢及打擊資恐作業、糾紛處理、與既有業務之區隔及利益衝突防範等事項，訂定完善之內部控制制度與風險控制及管理機制</w:t>
            </w:r>
            <w:r>
              <w:t>(</w:t>
            </w:r>
            <w:r>
              <w:t>請公司自訂</w:t>
            </w:r>
            <w:r>
              <w:t>)</w:t>
            </w:r>
            <w:r>
              <w:t>，並確實執行。</w:t>
            </w:r>
          </w:p>
          <w:p w14:paraId="6DF5590B" w14:textId="77777777" w:rsidR="00DB0BC4" w:rsidRDefault="00000000">
            <w:pPr>
              <w:ind w:leftChars="99" w:left="639" w:hangingChars="167" w:hanging="401"/>
            </w:pPr>
            <w:r>
              <w:t>(</w:t>
            </w:r>
            <w:r>
              <w:t>二</w:t>
            </w:r>
            <w:r>
              <w:t>)</w:t>
            </w:r>
            <w:r>
              <w:t>引介專業投資機構</w:t>
            </w:r>
            <w:r>
              <w:rPr>
                <w:color w:val="FF0000"/>
                <w:u w:val="single"/>
              </w:rPr>
              <w:t>及高資產客戶</w:t>
            </w:r>
            <w:r>
              <w:t>參與投資私募股權基金及提供相關服務，未為一般性廣告或公開勸誘之行為。</w:t>
            </w:r>
          </w:p>
          <w:p w14:paraId="7865F068" w14:textId="77777777" w:rsidR="00DB0BC4" w:rsidRDefault="00000000">
            <w:pPr>
              <w:ind w:leftChars="99" w:left="639" w:hangingChars="167" w:hanging="401"/>
            </w:pPr>
            <w:r>
              <w:rPr>
                <w:color w:val="FF0000"/>
                <w:u w:val="single"/>
              </w:rPr>
              <w:t>(</w:t>
            </w:r>
            <w:r>
              <w:rPr>
                <w:color w:val="FF0000"/>
                <w:u w:val="single"/>
              </w:rPr>
              <w:t>三</w:t>
            </w:r>
            <w:r>
              <w:rPr>
                <w:color w:val="FF0000"/>
                <w:u w:val="single"/>
              </w:rPr>
              <w:t>)</w:t>
            </w:r>
            <w:r>
              <w:rPr>
                <w:color w:val="FF0000"/>
                <w:u w:val="single"/>
              </w:rPr>
              <w:t>公司辦理本項業務，每一引介投資之私募股權基金之高資產客戶人數總數未超過九十九人，且未涉及新臺幣結匯事宜。</w:t>
            </w:r>
          </w:p>
          <w:p w14:paraId="79C4B7E5" w14:textId="77777777" w:rsidR="00DB0BC4" w:rsidRDefault="00000000">
            <w:pPr>
              <w:ind w:leftChars="99" w:left="639" w:hangingChars="167" w:hanging="401"/>
            </w:pPr>
            <w:r>
              <w:rPr>
                <w:color w:val="FF0000"/>
                <w:u w:val="single"/>
              </w:rPr>
              <w:t>(</w:t>
            </w:r>
            <w:r>
              <w:rPr>
                <w:color w:val="FF0000"/>
                <w:u w:val="single"/>
              </w:rPr>
              <w:t>四</w:t>
            </w:r>
            <w:r>
              <w:rPr>
                <w:color w:val="FF0000"/>
                <w:u w:val="single"/>
              </w:rPr>
              <w:t>)</w:t>
            </w:r>
            <w:r>
              <w:rPr>
                <w:color w:val="FF0000"/>
                <w:u w:val="single"/>
              </w:rPr>
              <w:t>應與私募股權基金相關機構就特定私募股權基金相關受委任事項簽訂委任契約，並於契約載明國內不得委任其他機構辦理。</w:t>
            </w:r>
          </w:p>
          <w:p w14:paraId="0ACFBE9C" w14:textId="77777777" w:rsidR="00DB0BC4" w:rsidRDefault="00000000">
            <w:pPr>
              <w:ind w:leftChars="99" w:left="639" w:hangingChars="167" w:hanging="401"/>
            </w:pPr>
            <w:r>
              <w:rPr>
                <w:color w:val="FF0000"/>
                <w:u w:val="single"/>
              </w:rPr>
              <w:t>(</w:t>
            </w:r>
            <w:r>
              <w:rPr>
                <w:color w:val="FF0000"/>
                <w:u w:val="single"/>
              </w:rPr>
              <w:t>五</w:t>
            </w:r>
            <w:r>
              <w:rPr>
                <w:color w:val="FF0000"/>
                <w:u w:val="single"/>
              </w:rPr>
              <w:t>)</w:t>
            </w:r>
            <w:r>
              <w:rPr>
                <w:color w:val="FF0000"/>
                <w:u w:val="single"/>
              </w:rPr>
              <w:t>與信託業簽訂委任契約透過金錢信託方式引介參與投資私募股權基金，是否遵行下列事項：</w:t>
            </w:r>
          </w:p>
          <w:p w14:paraId="5ED0283C" w14:textId="77777777" w:rsidR="00DB0BC4" w:rsidRDefault="00000000">
            <w:pPr>
              <w:ind w:leftChars="280" w:left="948" w:hangingChars="115" w:hanging="276"/>
            </w:pPr>
            <w:r>
              <w:rPr>
                <w:color w:val="FF0000"/>
                <w:u w:val="single"/>
              </w:rPr>
              <w:t>1.</w:t>
            </w:r>
            <w:r>
              <w:rPr>
                <w:color w:val="FF0000"/>
                <w:u w:val="single"/>
              </w:rPr>
              <w:t>信託業應符合證券投資信託事業募集證券投資信託基金處理準則第二十條所定銷售機構之資格條件。</w:t>
            </w:r>
          </w:p>
          <w:p w14:paraId="72A45D29" w14:textId="77777777" w:rsidR="00DB0BC4" w:rsidRDefault="00000000">
            <w:pPr>
              <w:ind w:leftChars="280" w:left="948" w:hangingChars="115" w:hanging="276"/>
            </w:pPr>
            <w:r>
              <w:rPr>
                <w:color w:val="FF0000"/>
                <w:u w:val="single"/>
              </w:rPr>
              <w:t>2.</w:t>
            </w:r>
            <w:r>
              <w:rPr>
                <w:color w:val="FF0000"/>
                <w:u w:val="single"/>
              </w:rPr>
              <w:t>公司應與信託業訂定書面契約，載明雙方權利義務。</w:t>
            </w:r>
          </w:p>
          <w:p w14:paraId="2696E628" w14:textId="77777777" w:rsidR="00DB0BC4" w:rsidRDefault="00000000">
            <w:pPr>
              <w:ind w:leftChars="280" w:left="948" w:hangingChars="115" w:hanging="276"/>
            </w:pPr>
            <w:r>
              <w:rPr>
                <w:color w:val="FF0000"/>
                <w:u w:val="single"/>
              </w:rPr>
              <w:t>3.</w:t>
            </w:r>
            <w:r>
              <w:rPr>
                <w:color w:val="FF0000"/>
                <w:u w:val="single"/>
              </w:rPr>
              <w:t>公司仍負有確認投資人資格條件之最終責任，並應於內部控制制度中訂定相關作業有關之風險監控管理措施。</w:t>
            </w:r>
          </w:p>
          <w:p w14:paraId="0608548B" w14:textId="77777777" w:rsidR="00DB0BC4" w:rsidRDefault="00000000">
            <w:pPr>
              <w:ind w:leftChars="99" w:left="639" w:hangingChars="167" w:hanging="401"/>
            </w:pPr>
            <w:r>
              <w:rPr>
                <w:color w:val="FF0000"/>
                <w:u w:val="single"/>
              </w:rPr>
              <w:lastRenderedPageBreak/>
              <w:t>(</w:t>
            </w:r>
            <w:r>
              <w:rPr>
                <w:color w:val="FF0000"/>
                <w:u w:val="single"/>
              </w:rPr>
              <w:t>六</w:t>
            </w:r>
            <w:r>
              <w:rPr>
                <w:color w:val="FF0000"/>
                <w:u w:val="single"/>
              </w:rPr>
              <w:t>)</w:t>
            </w:r>
            <w:r>
              <w:rPr>
                <w:color w:val="FF0000"/>
                <w:u w:val="single"/>
              </w:rPr>
              <w:t>公司除依前款規定外，未將引介參與投資私募股權基金複委任其他機構辦理。</w:t>
            </w:r>
          </w:p>
        </w:tc>
        <w:tc>
          <w:tcPr>
            <w:tcW w:w="851" w:type="dxa"/>
          </w:tcPr>
          <w:p w14:paraId="089FFAF8"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7C6B9E7C"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47ABE332"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2837E196" w14:textId="77777777" w:rsidR="00A1667A" w:rsidRPr="00367148" w:rsidRDefault="00A1667A" w:rsidP="00647C22">
            <w:pPr>
              <w:spacing w:line="260" w:lineRule="exact"/>
              <w:rPr>
                <w:rFonts w:ascii="新細明體" w:hAnsi="新細明體"/>
                <w:color w:val="000000" w:themeColor="text1"/>
              </w:rPr>
            </w:pPr>
          </w:p>
        </w:tc>
      </w:tr>
      <w:tr w:rsidR="00367148" w:rsidRPr="00367148" w14:paraId="14BDC0E9" w14:textId="77777777" w:rsidTr="00455A5F">
        <w:trPr>
          <w:cantSplit/>
        </w:trPr>
        <w:tc>
          <w:tcPr>
            <w:tcW w:w="15054" w:type="dxa"/>
            <w:gridSpan w:val="6"/>
            <w:tcBorders>
              <w:left w:val="single" w:sz="12" w:space="0" w:color="auto"/>
              <w:bottom w:val="single" w:sz="12" w:space="0" w:color="auto"/>
              <w:right w:val="single" w:sz="12" w:space="0" w:color="auto"/>
            </w:tcBorders>
          </w:tcPr>
          <w:p w14:paraId="686F668B"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lastRenderedPageBreak/>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w:t>
            </w:r>
          </w:p>
        </w:tc>
      </w:tr>
    </w:tbl>
    <w:p w14:paraId="4E9E7007"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D98B7" w14:textId="77777777" w:rsidR="00AB478A" w:rsidRDefault="00AB478A" w:rsidP="00D253DA">
      <w:r>
        <w:separator/>
      </w:r>
    </w:p>
  </w:endnote>
  <w:endnote w:type="continuationSeparator" w:id="0">
    <w:p w14:paraId="0099B0AC" w14:textId="77777777" w:rsidR="00AB478A" w:rsidRDefault="00AB478A"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34439" w14:textId="77777777" w:rsidR="00AB478A" w:rsidRDefault="00AB478A" w:rsidP="00D253DA">
      <w:r>
        <w:separator/>
      </w:r>
    </w:p>
  </w:footnote>
  <w:footnote w:type="continuationSeparator" w:id="0">
    <w:p w14:paraId="35BCC1A1" w14:textId="77777777" w:rsidR="00AB478A" w:rsidRDefault="00AB478A"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66B73"/>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1DF7"/>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478A"/>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B0BC4"/>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805C08"/>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244</Words>
  <Characters>1391</Characters>
  <Application>Microsoft Office Word</Application>
  <DocSecurity>0</DocSecurity>
  <Lines>11</Lines>
  <Paragraphs>3</Paragraphs>
  <ScaleCrop>false</ScaleCrop>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傅筠嵐</cp:lastModifiedBy>
  <cp:revision>2</cp:revision>
  <cp:lastPrinted>2018-07-17T03:11:00Z</cp:lastPrinted>
  <dcterms:created xsi:type="dcterms:W3CDTF">2026-03-17T09:12:00Z</dcterms:created>
  <dcterms:modified xsi:type="dcterms:W3CDTF">2026-03-17T09:12:00Z</dcterms:modified>
</cp:coreProperties>
</file>